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859BC41" w:rsidR="00FD4B07" w:rsidRPr="00E40CCA" w:rsidRDefault="00E40CCA" w:rsidP="00E40C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NOTES AND BIBLIOGRAPHY</w:t>
      </w:r>
      <w:r w:rsidRPr="00E40C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GUIDLINES</w:t>
      </w:r>
    </w:p>
    <w:p w14:paraId="00000003" w14:textId="3F851752" w:rsidR="00FD4B07" w:rsidRPr="00E40CCA" w:rsidRDefault="00E40CC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 references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</w:t>
      </w:r>
      <w:r w:rsidR="00792E19"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Chicago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style</w:t>
      </w:r>
      <w:r w:rsidR="00792E19"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, 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792E19"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edit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ion</w:t>
      </w:r>
      <w:r w:rsidR="00792E19"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fu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ll notes</w:t>
      </w:r>
      <w:r w:rsidR="00792E19"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(https://www.chicagomanualofstyle.org/tools_citationguide/citation-guide-1.html).</w:t>
      </w:r>
    </w:p>
    <w:p w14:paraId="4CB25925" w14:textId="51D15AB5" w:rsidR="00E40CCA" w:rsidRPr="00E40CCA" w:rsidRDefault="00E40CC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refer to a source use a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numbered footnote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When citing the source for the first time the full bibliographical description of it should be given in a footnote; in the following citations</w:t>
      </w:r>
      <w:r w:rsidR="00A54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shortened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All cited s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ources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should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listed in a separate bibliography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end of the paper titled </w:t>
      </w:r>
      <w:r w:rsidRPr="00E40C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Please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note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bibliographical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description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source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footnote is given in a slightly different way compared to the one in the 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bibliography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(see examples below).</w:t>
      </w:r>
    </w:p>
    <w:p w14:paraId="60A5DEDA" w14:textId="0024720A" w:rsidR="00E40CCA" w:rsidRPr="00E40CCA" w:rsidRDefault="00E40CC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Please note that authors’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first and middle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ames (as well as patronymics) should be given the way they are actually given in the source: that is, in full if it is given in full, and only by initials, if only the initials are used in the source. (In practice names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patronymics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Russian authors are mostly initialized in the sources, while first and middle names of the western authors are given in full.)</w:t>
      </w:r>
    </w:p>
    <w:p w14:paraId="41B713AE" w14:textId="70DFC7FB" w:rsidR="00E40CCA" w:rsidRPr="00E40CCA" w:rsidRDefault="00E40CC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all the sources in languages in non-Roman alphabets (Russian, Arabic, Chinese, etc.) </w:t>
      </w:r>
      <w:proofErr w:type="spellStart"/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romanized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doublets should be given in the 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>bibliography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(but not in footnotes). For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each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such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source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doublet</w:t>
      </w:r>
      <w:r w:rsidRPr="00E40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given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brackets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0C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right after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in the list (see examples below).</w:t>
      </w:r>
    </w:p>
    <w:p w14:paraId="16D6BD4D" w14:textId="77777777" w:rsidR="00E40CCA" w:rsidRPr="00E40CCA" w:rsidRDefault="00E40CCA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40C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Sample Citations</w:t>
      </w:r>
      <w:r w:rsidRPr="00E40C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0000008" w14:textId="5A8D4A27" w:rsidR="00FD4B07" w:rsidRPr="00E40CCA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I. </w:t>
      </w:r>
      <w:r w:rsidR="00E40CCA" w:rsidRPr="00E40CCA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>Book</w:t>
      </w:r>
    </w:p>
    <w:p w14:paraId="00000009" w14:textId="0697728A" w:rsidR="00FD4B07" w:rsidRPr="00E40CCA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</w:t>
      </w:r>
      <w:r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E40CCA"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Boo</w:t>
      </w:r>
      <w:r w:rsid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k or 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m</w:t>
      </w:r>
      <w:r w:rsid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onograph</w:t>
      </w:r>
    </w:p>
    <w:p w14:paraId="17FF9391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fr-CA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fr-CA"/>
        </w:rPr>
        <w:t>Notes</w:t>
      </w:r>
    </w:p>
    <w:p w14:paraId="0000000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1. Léon Robin,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La théorie platonicienne des Idées et des Nombres d'après Aristote. Étude historique et critique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(Paris: Félix Alcan, 1908), 315–16.</w:t>
      </w:r>
    </w:p>
    <w:p w14:paraId="0000000C" w14:textId="3AF17BF6" w:rsidR="00FD4B07" w:rsidRPr="00E40CCA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</w:t>
      </w:r>
      <w:r w:rsidR="00EA0FF7"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EA0FF7"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.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Ранняя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Эдмунда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(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Галле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, 1887–1901)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(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Прогресс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Традиция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, 2018), 80.</w:t>
      </w:r>
    </w:p>
    <w:p w14:paraId="0000000D" w14:textId="5284CBAB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П.П.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Гайденко,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новоевропейской философии в её связи с наукой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 Университетская книга, 2000), 400.</w:t>
      </w:r>
    </w:p>
    <w:p w14:paraId="68E53FAD" w14:textId="77777777" w:rsidR="00E40CCA" w:rsidRDefault="00E40CCA" w:rsidP="00E40CCA">
      <w:pPr>
        <w:pStyle w:val="3"/>
        <w:shd w:val="clear" w:color="auto" w:fill="FFFFFF"/>
        <w:spacing w:before="135" w:after="180"/>
        <w:rPr>
          <w:rFonts w:ascii="LyonText-SemiboldItalic-Web" w:hAnsi="LyonText-SemiboldItalic-Web"/>
          <w:i/>
          <w:iCs/>
          <w:color w:val="0085CF"/>
        </w:rPr>
      </w:pPr>
      <w:proofErr w:type="spellStart"/>
      <w:r>
        <w:rPr>
          <w:rFonts w:ascii="LyonText-SemiboldItalic-Web" w:hAnsi="LyonText-SemiboldItalic-Web"/>
          <w:i/>
          <w:iCs/>
          <w:color w:val="0085CF"/>
        </w:rPr>
        <w:t>Shortened</w:t>
      </w:r>
      <w:proofErr w:type="spellEnd"/>
      <w:r>
        <w:rPr>
          <w:rFonts w:ascii="LyonText-SemiboldItalic-Web" w:hAnsi="LyonText-SemiboldItalic-Web"/>
          <w:i/>
          <w:iCs/>
          <w:color w:val="0085CF"/>
        </w:rPr>
        <w:t xml:space="preserve"> </w:t>
      </w:r>
      <w:proofErr w:type="spellStart"/>
      <w:r>
        <w:rPr>
          <w:rFonts w:ascii="LyonText-SemiboldItalic-Web" w:hAnsi="LyonText-SemiboldItalic-Web"/>
          <w:i/>
          <w:iCs/>
          <w:color w:val="0085CF"/>
        </w:rPr>
        <w:t>notes</w:t>
      </w:r>
      <w:proofErr w:type="spellEnd"/>
    </w:p>
    <w:p w14:paraId="0000000F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1. Robin, 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La théorie platonicienne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, 320.</w:t>
      </w:r>
    </w:p>
    <w:p w14:paraId="0000001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Ранняя философия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100.</w:t>
      </w:r>
    </w:p>
    <w:p w14:paraId="0000001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Гайденко.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История новоевропейской философии,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33.</w:t>
      </w:r>
    </w:p>
    <w:p w14:paraId="369F103B" w14:textId="77777777" w:rsidR="00E40CCA" w:rsidRPr="00E40CCA" w:rsidRDefault="00E40CCA" w:rsidP="00E40CCA">
      <w:pPr>
        <w:pStyle w:val="3"/>
        <w:shd w:val="clear" w:color="auto" w:fill="FFFFFF"/>
        <w:spacing w:before="135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Bibliography entries (in alphabetical order)</w:t>
      </w:r>
    </w:p>
    <w:p w14:paraId="00000013" w14:textId="6CF624F9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Гайденко, </w:t>
      </w:r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новоевропейской философии в её связи с наукой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Университетская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книга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2000.</w:t>
      </w:r>
    </w:p>
    <w:p w14:paraId="00000014" w14:textId="0990912A" w:rsidR="00FD4B07" w:rsidRPr="004E5E3E" w:rsidRDefault="00211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Gaidenko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P</w:t>
      </w:r>
      <w:r w:rsidR="00EA0FF7" w:rsidRPr="00EA0FF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P.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 History of European Philosophy of the Modern Age in Its Relation to Science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Universitetskaya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kniga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Publ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2000.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15" w14:textId="333B6065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Н</w:t>
      </w:r>
      <w:r w:rsidR="00EA0FF7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Ранняя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Эдмунда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Галле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, 1887–1901)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Прогресс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Традиция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2018.</w:t>
      </w:r>
    </w:p>
    <w:p w14:paraId="00000016" w14:textId="65761051" w:rsidR="00FD4B07" w:rsidRPr="004E5E3E" w:rsidRDefault="00211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N</w:t>
      </w:r>
      <w:r w:rsidR="00EA0FF7" w:rsidRPr="00EA0FF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Edmund Husserl’s Early Philosophy (Halle, 1887–1901)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Moscow: Progress-Tradition Publ, 2018.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)</w:t>
      </w:r>
    </w:p>
    <w:p w14:paraId="0000001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Robin, Léon.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La théorie platonicienne des Idées et des Nombres d'après Aristote.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Étude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historique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critique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Paris: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Félix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Alcan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1908.</w:t>
      </w:r>
    </w:p>
    <w:p w14:paraId="00000018" w14:textId="0A884E50" w:rsidR="00FD4B07" w:rsidRPr="00E40CCA" w:rsidRDefault="00E40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 the example the book of</w:t>
      </w:r>
      <w:r w:rsidR="00792E19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N.V </w:t>
      </w:r>
      <w:proofErr w:type="spellStart"/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Motroshilova</w:t>
      </w:r>
      <w:proofErr w:type="spellEnd"/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has an official English title</w:t>
      </w:r>
      <w:r w:rsidR="00792E19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that is given in the book itself</w:t>
      </w:r>
      <w:r w:rsidR="00792E19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that is the title that should be used</w:t>
      </w:r>
      <w:r w:rsidR="00792E19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 the</w:t>
      </w:r>
      <w:r w:rsidRPr="00E40CCA">
        <w:rPr>
          <w:lang w:val="en-US"/>
        </w:rPr>
        <w:t xml:space="preserve"> </w:t>
      </w:r>
      <w:proofErr w:type="spellStart"/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romanized</w:t>
      </w:r>
      <w:proofErr w:type="spellEnd"/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doublet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in the References list; furthermore, square brackets are </w:t>
      </w:r>
      <w:r w:rsidRPr="00E40C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to be used in that case</w:t>
      </w:r>
      <w:r w:rsidR="00792E19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The book of 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P.P. </w:t>
      </w:r>
      <w:proofErr w:type="spellStart"/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Gaidenko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does not have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an official English title, that is given in the book itself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="00792E19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—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in such a case you should translate a title fort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</w:t>
      </w:r>
      <w:r w:rsidRPr="00E40CCA">
        <w:rPr>
          <w:lang w:val="en-US"/>
        </w:rPr>
        <w:t xml:space="preserve"> </w:t>
      </w:r>
      <w:proofErr w:type="spellStart"/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romanized</w:t>
      </w:r>
      <w:proofErr w:type="spellEnd"/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doublet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in the References list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yourself and place it in </w:t>
      </w:r>
      <w:r w:rsidRPr="00E40C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square brackets</w:t>
      </w:r>
      <w:r w:rsidR="00792E19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14:paraId="00000019" w14:textId="49865F44" w:rsidR="00FD4B07" w:rsidRPr="00E40CCA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E40CCA"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Book with an editor(s)</w:t>
      </w:r>
      <w:r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 (</w:t>
      </w:r>
      <w:proofErr w:type="spellStart"/>
      <w:r w:rsidR="00E40CCA"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colletion</w:t>
      </w:r>
      <w:proofErr w:type="spellEnd"/>
      <w:r w:rsidR="00E40CCA"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, edition of a text, etc.</w:t>
      </w:r>
      <w:r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)</w:t>
      </w:r>
    </w:p>
    <w:p w14:paraId="04C7FD67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1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 xml:space="preserve">1. David Ross, ed., 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en-US"/>
        </w:rPr>
        <w:t>Aristotle’s Physics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 xml:space="preserve"> (Oxford: Clarendon Press, 1936), 562.</w:t>
      </w:r>
    </w:p>
    <w:p w14:paraId="0000001C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2. Dietrich Gerhard, Wiktor 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und Hans-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Jurgen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zum Winke, Hrsg., 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: Dmitrij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Tschižewskij</w:t>
      </w:r>
      <w:proofErr w:type="spellEnd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zum 70. </w:t>
      </w:r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Geburtstag</w:t>
      </w:r>
      <w:r w:rsidRPr="00403C9B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(München: Wilhelm Fink Verlag, 1966), 101.</w:t>
      </w:r>
    </w:p>
    <w:p w14:paraId="0000001D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Ірина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Валявко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Олександр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Чуднов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Володимир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Янцен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упоряд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., </w:t>
      </w:r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Дмитро</w:t>
      </w:r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Іванович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Чижевський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і</w:t>
      </w:r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його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сучасники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Листи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спогади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Кіровогдад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Імекс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-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ЛТД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, 2013), 11.</w:t>
      </w:r>
    </w:p>
    <w:p w14:paraId="00CD836D" w14:textId="77777777" w:rsidR="00E40CCA" w:rsidRPr="00E40CCA" w:rsidRDefault="00E40CCA" w:rsidP="00E40CCA">
      <w:pPr>
        <w:pStyle w:val="3"/>
        <w:shd w:val="clear" w:color="auto" w:fill="FFFFFF"/>
        <w:spacing w:before="135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Shortened notes</w:t>
      </w:r>
    </w:p>
    <w:p w14:paraId="0000001F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1. </w:t>
      </w:r>
      <w:r w:rsidRPr="00403C9B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Ross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Aristotle</w:t>
      </w:r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’</w:t>
      </w:r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</w:t>
      </w:r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Physics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, 418.</w:t>
      </w:r>
    </w:p>
    <w:p w14:paraId="0000002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2. Gerhard, 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und Winke, 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, 120.</w:t>
      </w:r>
    </w:p>
    <w:p w14:paraId="0000002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Валявко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Чуднов,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Янцен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Чижевський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33.</w:t>
      </w:r>
    </w:p>
    <w:p w14:paraId="00000022" w14:textId="0134C03C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2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Валявко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Ірина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Олександр Чуднов,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Янцен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Дмитро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Іванович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Чижевський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сучасники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Листи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спогади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Кіровогдад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Імекс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-ЛТД, 2013.</w:t>
      </w:r>
    </w:p>
    <w:p w14:paraId="00000024" w14:textId="16FD16DF" w:rsidR="00FD4B07" w:rsidRPr="009C0E01" w:rsidRDefault="00211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</w:rPr>
        <w:t>(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Valjavko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Irina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Chudnov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Oleksandr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&amp;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Jancen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Volodimir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comp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[</w:t>
      </w:r>
      <w:r w:rsidR="00792E19"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Dmitrij </w:t>
      </w:r>
      <w:proofErr w:type="spellStart"/>
      <w:r w:rsidR="00792E19"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Tschižewskij</w:t>
      </w:r>
      <w:proofErr w:type="spellEnd"/>
      <w:r w:rsidR="00792E19"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and His Contemporaries. </w:t>
      </w:r>
      <w:r w:rsidR="00792E19"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Letters and Memories</w:t>
      </w:r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</w:t>
      </w:r>
      <w:proofErr w:type="spellStart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Kirovogdad</w:t>
      </w:r>
      <w:proofErr w:type="spellEnd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: </w:t>
      </w:r>
      <w:proofErr w:type="spellStart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Imeks</w:t>
      </w:r>
      <w:proofErr w:type="spellEnd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-LTD Publ., 2013.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(In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Ukrainian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</w:t>
      </w:r>
    </w:p>
    <w:p w14:paraId="0000002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Gerhard, Dietrich, Wiktor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und Hans-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Jurgen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zum Winke, Hrsg.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: Dmitrij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Tschižewskij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zum 70. Geburtstag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München: Wilhelm Fink Verlag, 1966.</w:t>
      </w:r>
    </w:p>
    <w:p w14:paraId="00000026" w14:textId="627109B4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Ross, David, ed. 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Aristotle’s Physics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Oxford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Clarendon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Press, 1936.</w:t>
      </w:r>
    </w:p>
    <w:p w14:paraId="39974ADB" w14:textId="0739293E" w:rsidR="009C0E01" w:rsidRPr="00E40CCA" w:rsidRDefault="00E40CCA" w:rsidP="009C0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If an author has a preferred way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writing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their name</w:t>
      </w:r>
      <w:r w:rsidR="009C0E01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 w:rsidR="009C0E01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g.</w:t>
      </w:r>
      <w:r w:rsidR="009C0E01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David Ross</w:t>
      </w:r>
      <w:r w:rsidR="006F53C8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not</w:t>
      </w:r>
      <w:r w:rsidR="006F53C8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William David Ross), G.E.L. Owen (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ot</w:t>
      </w:r>
      <w:r w:rsidR="006F53C8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Gwilym Ellis Lane Owen)</w:t>
      </w:r>
      <w:r w:rsidR="009C0E01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  <w:r w:rsidR="006F53C8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</w:t>
      </w: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this way should be used both in footnotes and in References list</w:t>
      </w:r>
      <w:r w:rsidR="006F53C8"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14:paraId="00000027" w14:textId="07E17445" w:rsidR="00FD4B07" w:rsidRPr="00E40CCA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lastRenderedPageBreak/>
        <w:t>В</w:t>
      </w:r>
      <w:r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E40CCA" w:rsidRP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Volume from a m</w:t>
      </w:r>
      <w:r w:rsidR="00E40CCA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ultivolume edition</w:t>
      </w:r>
    </w:p>
    <w:p w14:paraId="0750FF62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29" w14:textId="4E0F85FF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r w:rsidR="00884CC7" w:rsidRPr="00037D4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Terence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Irwin,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Development of Ethics. A Historical and Critical Study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vol. 3,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From Kant to Rawls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(Oxford: Oxford University Press, 2009), 800.</w:t>
      </w:r>
    </w:p>
    <w:p w14:paraId="0000002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Johann Gottfried Herder,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(Berlin: Aufbau-Verlag, 1952), 2:101.</w:t>
      </w:r>
    </w:p>
    <w:p w14:paraId="0000002B" w14:textId="6E7E54F2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3. </w:t>
      </w:r>
      <w:r w:rsidR="0021190F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Maximilian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Wallies, ed.,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Alexandri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Aphrodisiensis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in Aristotelis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topicorum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libros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octo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commentaria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vol. 2, pars 2 de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Commentaria in Aristotelem Graeca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(Berlin: Georg Reimer, 1891), XXXVI.</w:t>
      </w:r>
    </w:p>
    <w:p w14:paraId="0000002C" w14:textId="75874AB7" w:rsidR="00FD4B07" w:rsidRPr="00E40CCA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 история древнего мира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т. 5,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Пятый век до нашей эры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под ред.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М. Льюиса,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Бордмэна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К. Дэвиса, М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Оствальда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пер. А</w:t>
      </w:r>
      <w:r w:rsidR="000F6E0D"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F6E0D"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Зайкова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Ладомир</w:t>
      </w:r>
      <w:proofErr w:type="spellEnd"/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>, 2014), 33.</w:t>
      </w:r>
    </w:p>
    <w:p w14:paraId="0000002D" w14:textId="50EF2F75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2E" w14:textId="77777777" w:rsidR="00FD4B07" w:rsidRPr="00E40CCA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Irwin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Development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of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Ethics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>, 3:131.</w:t>
      </w:r>
    </w:p>
    <w:p w14:paraId="0000002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Herder,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Zur Philosophie der Geschichte,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2:24.</w:t>
      </w:r>
    </w:p>
    <w:p w14:paraId="0000003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3. Wallies, 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Alexandri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in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topicorum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XVI</w:t>
      </w:r>
    </w:p>
    <w:p w14:paraId="0000003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4.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древнего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мира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5:35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.</w:t>
      </w:r>
    </w:p>
    <w:p w14:paraId="00000032" w14:textId="0AB1797A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33" w14:textId="45C51AA4" w:rsidR="00FD4B07" w:rsidRPr="00E40CCA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 история древнего мира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Т. 5,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Пятый век до нашей эры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Под редакцией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М. Льюиса,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Бордмэна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К. Дэвиса, М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Оствальда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Перевод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0F6E0D"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F6E0D"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Зайкова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Ладомир</w:t>
      </w:r>
      <w:proofErr w:type="spellEnd"/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2014.</w:t>
      </w:r>
    </w:p>
    <w:p w14:paraId="00000034" w14:textId="57AAF84E" w:rsidR="00FD4B07" w:rsidRPr="004E5E3E" w:rsidRDefault="00251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E40CCA">
        <w:rPr>
          <w:rFonts w:ascii="Times New Roman" w:eastAsia="Times New Roman" w:hAnsi="Times New Roman" w:cs="Times New Roman"/>
          <w:iCs/>
          <w:color w:val="7F7F7F"/>
          <w:sz w:val="26"/>
          <w:szCs w:val="26"/>
          <w:lang w:val="en-US"/>
        </w:rPr>
        <w:t>(</w:t>
      </w:r>
      <w:r w:rsidR="00792E19"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Cambridge Ancient History</w:t>
      </w:r>
      <w:r w:rsidR="00792E19"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Vol. 5,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Fifth Century BC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Edited by David M. Lewis, John Boardman, John K. Davies, Martin Ostwald. Translated by A</w:t>
      </w:r>
      <w:r w:rsidR="00884CC7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Zaikov.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Ladomir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Publ., 2014.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3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Herder, Johann Gottfried.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Bd. 2. Berlin: Aufbau-Verlag, 1952.</w:t>
      </w:r>
    </w:p>
    <w:p w14:paraId="00000036" w14:textId="01EFC0CD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Irwin, Terence.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Development of Ethics. A Historical and Critical Study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Vol. III,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From Kant to Rawls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Oxford: Oxford University Press, 2009.</w:t>
      </w:r>
    </w:p>
    <w:p w14:paraId="00000037" w14:textId="7A6039F4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Wallies, Maximilian, ed.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Alexandri</w:t>
      </w:r>
      <w:proofErr w:type="spellEnd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Aphrodisiensis</w:t>
      </w:r>
      <w:proofErr w:type="spellEnd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in Aristotelis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topicorum</w:t>
      </w:r>
      <w:proofErr w:type="spellEnd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libros octo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commentaria</w:t>
      </w:r>
      <w:proofErr w:type="spellEnd"/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Vol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2,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pars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de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Commentaria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in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Aristotelem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Graeca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Berlin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: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Georg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Reimer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1891.</w:t>
      </w:r>
    </w:p>
    <w:p w14:paraId="2C09A6FE" w14:textId="3E629F32" w:rsidR="00E40CCA" w:rsidRPr="00E40CCA" w:rsidRDefault="00E40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 difference between the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ays the sources in 1 and 2 are cited is due to the following</w:t>
      </w:r>
      <w:r w:rsidR="00A54CB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consideration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both of the volumes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Herder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’s edition appeared the same year and do not have their own titles, while the volumes of Irwin’s work appeared different years and each has its own title.</w:t>
      </w:r>
    </w:p>
    <w:p w14:paraId="736DC15E" w14:textId="0AD096F0" w:rsidR="00E40CCA" w:rsidRPr="00CD55E0" w:rsidRDefault="00E40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When citing</w:t>
      </w:r>
      <w:r w:rsidR="00CD55E0" w:rsidRP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volumes from a</w:t>
      </w:r>
      <w:r w:rsid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multivolume set, in which different volumes are edited by different editors, you may choose to either cite it as in example 3 or as in example 4 </w:t>
      </w:r>
      <w:r w:rsidR="00CD55E0" w:rsidRP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—</w:t>
      </w:r>
      <w:r w:rsidR="00CD55E0" w:rsidRP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depending on whether</w:t>
      </w:r>
      <w:r w:rsidR="00A54CB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you think</w:t>
      </w:r>
      <w:r w:rsid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it more important to refer to the editor or the volume.  </w:t>
      </w:r>
    </w:p>
    <w:p w14:paraId="0000003A" w14:textId="21A3789D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lastRenderedPageBreak/>
        <w:t>Г</w:t>
      </w:r>
      <w:r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Book translation</w:t>
      </w:r>
    </w:p>
    <w:p w14:paraId="7D7CC7B8" w14:textId="39CE483C" w:rsidR="00CD55E0" w:rsidRPr="00CD55E0" w:rsidRDefault="00CD55E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 w:rsidRPr="00CD55E0"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 xml:space="preserve">In </w:t>
      </w:r>
      <w:proofErr w:type="spellStart"/>
      <w:r w:rsidRPr="00CD55E0">
        <w:rPr>
          <w:rFonts w:ascii="Times New Roman" w:eastAsia="Times New Roman" w:hAnsi="Times New Roman" w:cs="Times New Roman"/>
          <w:sz w:val="27"/>
          <w:szCs w:val="27"/>
          <w:lang w:val="en-US"/>
        </w:rPr>
        <w:t>romanized</w:t>
      </w:r>
      <w:proofErr w:type="spellEnd"/>
      <w:r w:rsidRPr="00CD55E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doublets</w:t>
      </w:r>
      <w:r w:rsidRPr="00CD55E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in the References list it is preferable to use the name of the book in its original language (provided it is a language that uses Roman alphabet)</w:t>
      </w:r>
      <w:r w:rsidRPr="00CD55E0"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 xml:space="preserve"> —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 xml:space="preserve"> see 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>example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 xml:space="preserve"> 3 below (Perler).</w:t>
      </w:r>
    </w:p>
    <w:p w14:paraId="49621776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3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1. Antonio Negri,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The Savage Anomaly. The Power of Spinoza’s Metaphysics and Politics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trans. by Michael Hardt (Minneapolis: University of Minnesota Press, 1991), 70.</w:t>
      </w:r>
    </w:p>
    <w:p w14:paraId="0000003E" w14:textId="520CB240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Джон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Теория справедливости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</w:t>
      </w:r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В.В.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Целищева (Новосибирск: Издательство Новосибирского университета, 1995), 330.</w:t>
      </w:r>
    </w:p>
    <w:p w14:paraId="0000003F" w14:textId="2D9DB6EF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Доминик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Теории интенциональности в Средние века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</w:t>
      </w:r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Г.В.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Вдовиной (М.: Дело, 2016), 81.</w:t>
      </w:r>
    </w:p>
    <w:p w14:paraId="00000040" w14:textId="7B67E123" w:rsidR="00FD4B07" w:rsidRPr="00C376DC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41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Negri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Savage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Anomaly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, 71.</w:t>
      </w:r>
    </w:p>
    <w:p w14:paraId="00000042" w14:textId="6700975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Теория справедливости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100.</w:t>
      </w:r>
    </w:p>
    <w:p w14:paraId="0000004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Теории интенциональности,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82.</w:t>
      </w:r>
    </w:p>
    <w:p w14:paraId="00000044" w14:textId="432A5EF6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45" w14:textId="0B8CC88D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Доминик.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Теории интенциональности в Средние века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Перевод </w:t>
      </w:r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Г.В.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Вдовиной. М.: Дело, 2016.</w:t>
      </w:r>
    </w:p>
    <w:p w14:paraId="00000046" w14:textId="7F061068" w:rsidR="00FD4B07" w:rsidRPr="00FF0505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Perler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Dominik.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Theorien der Intentionalität im Mittelalter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Übersetzt von G</w:t>
      </w:r>
      <w:r w:rsidR="00037D47" w:rsidRPr="00037D47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Vdovina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Moscow: Delo Publ., 2016. (In Russian)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</w:p>
    <w:p w14:paraId="00000047" w14:textId="3E2F3CD8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Джон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Теория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справедливости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37D47"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37D47"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Целищева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Новосибирск: Издательство Новосибирского университета, 1995.</w:t>
      </w:r>
    </w:p>
    <w:p w14:paraId="00000048" w14:textId="24F28E56" w:rsidR="00FD4B07" w:rsidRPr="004E5E3E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(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Rawls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John. </w:t>
      </w:r>
      <w:r w:rsidR="00792E19"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 Theory of Justice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Translated by V</w:t>
      </w:r>
      <w:r w:rsidR="00037D47" w:rsidRPr="00037D4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Tselishchev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Novosibirsk: Novosibirsk St. Univ. Publ., 1995.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4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Negri, Antonio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. The Savage Anomaly. The Power of Spinoza’s Metaphysics and Politics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Translated by Michael Hardt. Minneapolis: University of Minnesota Press, 1991.</w:t>
      </w:r>
    </w:p>
    <w:p w14:paraId="0000004A" w14:textId="14F88036" w:rsidR="00FD4B07" w:rsidRPr="00A54CB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>II</w:t>
      </w:r>
      <w:r w:rsidRPr="00A54CB7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. </w:t>
      </w:r>
      <w:r w:rsidR="00CD55E0" w:rsidRPr="00A54CB7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>Book section</w:t>
      </w:r>
    </w:p>
    <w:p w14:paraId="0000004B" w14:textId="3D6B9EDA" w:rsidR="00FD4B07" w:rsidRPr="00A54CB7" w:rsidRDefault="00A54C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54CB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In a note, cite specific page numbers.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References list</w:t>
      </w:r>
      <w:r w:rsidRPr="00A54CB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include the page range for the whole article</w:t>
      </w:r>
      <w:r w:rsidR="00792E19" w:rsidRPr="00A54CB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14:paraId="0000004C" w14:textId="76C04378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</w:t>
      </w:r>
      <w:r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Section or ch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apter form a collection</w:t>
      </w:r>
    </w:p>
    <w:p w14:paraId="532AE0EF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4E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Nelly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«History of Philosophy in Hegel’s System»,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Palgrave Hegel Handbook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ed. Marina F. Bykova and Kenneth R. Westphal (Cham: Palgrave Macmillan, 2020), 487–88.</w:t>
      </w:r>
    </w:p>
    <w:p w14:paraId="0000004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Chen Jian, «China and the Cold War after Mao», in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The Cambridge History of the Cold War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, ed. Melvyn P. Leffler and Odd Arne Westad (Cambridge: Cambridge University Press, 2010), 3:181.</w:t>
      </w:r>
    </w:p>
    <w:p w14:paraId="00000050" w14:textId="2515B243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А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Серегин, «Неморальное благо и зло: этическая позиция Сократа в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Горгии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 ΖΗΤΗΜΑΤΑ. Исследования по истории платонизма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общ. ред.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В.В.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Петрова (М.: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Кругъ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2013), 101.</w:t>
      </w:r>
    </w:p>
    <w:p w14:paraId="00000051" w14:textId="1058A2B9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4.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Т.В.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Васильева, «Беседа о логосе в платоновском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Теэтете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 (201c–210d)»,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Платон и его эпоха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ред.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Ф.Х.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Кессиди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 Наука, 1979), 290.</w:t>
      </w:r>
    </w:p>
    <w:p w14:paraId="00000052" w14:textId="177B1D1C" w:rsidR="00FD4B07" w:rsidRPr="00C376DC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53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History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of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Philosophy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in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Hegel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», 500.</w:t>
      </w:r>
    </w:p>
    <w:p w14:paraId="0000005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2. Chen Jian. «China and the Cold War after Mao», 3:199.</w:t>
      </w:r>
    </w:p>
    <w:p w14:paraId="0000005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Серегин, «Неморальное благо и зло», 109.</w:t>
      </w:r>
    </w:p>
    <w:p w14:paraId="0000005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Васильева, «Беседа о логосе», 292.</w:t>
      </w:r>
    </w:p>
    <w:p w14:paraId="3C92FCEC" w14:textId="77777777" w:rsidR="00CD55E0" w:rsidRPr="00E40CCA" w:rsidRDefault="00CD55E0" w:rsidP="00CD55E0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58" w14:textId="597DB89C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Васильева,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Т.В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«Беседа о логосе в платоновском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Теэтете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 (201c–210d)».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Платон и его эпоха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редакцией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Ф.Х.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Кессиди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278–300.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Наука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1979.</w:t>
      </w:r>
    </w:p>
    <w:p w14:paraId="00000059" w14:textId="12F8D7F0" w:rsidR="00FD4B07" w:rsidRPr="00403C9B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233DC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Vasilyeva, T</w:t>
      </w:r>
      <w:r w:rsidR="002951B3" w:rsidRPr="002951B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«[The Discussion of Logos in Plato’s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Theaetetus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(201c–210d)]». In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 and his Era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], edited by T</w:t>
      </w:r>
      <w:r w:rsidR="002951B3" w:rsidRPr="002951B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H.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Kessidis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278–300.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Moscow: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Nauka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., 1979. 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5A" w14:textId="61043148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Серегин,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А.В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«Неморальное благо и зло: этическая позиция Сократа в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Горгии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 ΖΗΤΗΜΑΤΑ. Исследования по истории платонизма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общей редакцией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В.В.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Петрова, 95–123.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Кругъ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2013.</w:t>
      </w:r>
    </w:p>
    <w:p w14:paraId="0000005B" w14:textId="1F772505" w:rsidR="00FD4B07" w:rsidRPr="004E5E3E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Seregin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Andrei. «Non-Moral Good and Evil and Socrates’ Ethical Position in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Gorgias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». In </w:t>
      </w:r>
      <w:r w:rsidR="00792E19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="00792E19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ΖΗΤΗΜΑΤΑ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. Studies in the History of Platonism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edited by Valery V. Petroff, 95–123. Moscow: Krug Publ., 2013.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5C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Chen Jian. «China and the Cold War after Mao».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Endings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edited by Melvyn P. Leffler and Odd Arne Westad, 181–200. Vol. 3 of The Cambridge History of the Cold War. Cambridge: Cambridge University Press, 2010.</w:t>
      </w:r>
    </w:p>
    <w:p w14:paraId="0000005D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Nelly V. «History of Philosophy in Hegel’s System».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Palgrave Hegel Handbook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edited by Marina F. Bykova and Kenneth R. Westphal, 485–517.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Cham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Palgrave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Macmillan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2020.</w:t>
      </w:r>
    </w:p>
    <w:p w14:paraId="0000005E" w14:textId="64F1BC61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Introduction o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r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 afterword to a translation or an edit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ion of text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 </w:t>
      </w:r>
    </w:p>
    <w:p w14:paraId="2F040D36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6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Wolfgang Harich,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»,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von Johann Gottfried Herder (Berlin: Aufbau-Verlag, 1952), 1:9.</w:t>
      </w:r>
    </w:p>
    <w:p w14:paraId="0000006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Jaques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«Avant-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propos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dans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Topiques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par Aristote, éd. et trad. par Jaques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vol. 2,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Livres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V–VIII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(Paris: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Les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Belles Lettres, 2007), X.</w:t>
      </w:r>
    </w:p>
    <w:p w14:paraId="00000062" w14:textId="6DC8A18D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lastRenderedPageBreak/>
        <w:t xml:space="preserve">3.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Бирюков, «Введение.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Фреге: современный взгляд»,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Логика и логическая семантика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Г. Фреге, под ред.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З.А.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Кузичевой, пер.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Бирюкова (М.: Аспект Пресс, 2000), 33.</w:t>
      </w:r>
    </w:p>
    <w:p w14:paraId="00000063" w14:textId="68BB8F16" w:rsidR="00FD4B07" w:rsidRPr="009C0E01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6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Harich,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», 1:15.</w:t>
      </w:r>
    </w:p>
    <w:p w14:paraId="0000006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 xml:space="preserve">2.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«Avant-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propos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», 2:LX.</w:t>
      </w:r>
    </w:p>
    <w:p w14:paraId="00000066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Бирюков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Введение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», 37.</w:t>
      </w:r>
    </w:p>
    <w:p w14:paraId="00000067" w14:textId="4D91C5CD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68" w14:textId="49772095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Бирюков,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Б.В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«Введение.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Фреге: современный взгляд».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Логика и логическая семантика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Фреге, 8–62. Под редакцией Зинаиды Андреевны Кузичевой. Перевод Бориса Владимировича Бирюкова. М.: Аспект Пресс, 2000.</w:t>
      </w:r>
    </w:p>
    <w:p w14:paraId="00000069" w14:textId="1C4517B7" w:rsidR="00FD4B07" w:rsidRPr="004E5E3E" w:rsidRDefault="00353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Birjukov</w:t>
      </w:r>
      <w:proofErr w:type="spellEnd"/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B367A3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«[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Introduction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Gottlob Frege: a Modern Overview]». In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Logic and Logical Semantics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], by Gottlob Frege, 8–62. Edited by Z</w:t>
      </w:r>
      <w:r w:rsidR="00B367A3" w:rsidRPr="00B367A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A.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Kuzicheva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Translated by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B367A3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</w:t>
      </w:r>
      <w:r w:rsidR="00B367A3" w:rsidRPr="00B367A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Birjukov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Aspekt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Press Publ., 2000.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6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Brunschwig, Jacques. «Avant-propos». Dans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Topiques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, par Aristote, vol. 2,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Livres V–VIII,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XXI–LX. Texte établi et traduit par Jacques Brunschwig. Paris: Les Belles Lettres, 2007. </w:t>
      </w:r>
    </w:p>
    <w:p w14:paraId="0000006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Harich, Wolfgang.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».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von Johann Gottfried Herder, Bd. 1, 7–82.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Berlin: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Aufbau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-Verlag, 1952.</w:t>
      </w:r>
    </w:p>
    <w:p w14:paraId="0000006C" w14:textId="66ABD142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В</w:t>
      </w:r>
      <w:r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Separate work from an author’s collected works</w:t>
      </w:r>
    </w:p>
    <w:p w14:paraId="497BA908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6E" w14:textId="77777777" w:rsidR="00FD4B07" w:rsidRPr="00FF050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Charles Sanders Peirce, «Prolegomena to an Apology for Pragmaticism»,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Philosophy of Mathematics: Selected Writings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ed. 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Matthew E. Moore (Bloomington: Indiana University Press, 2010), 80.</w:t>
      </w:r>
    </w:p>
    <w:p w14:paraId="0000006F" w14:textId="6B55EF4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Дэвид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Юм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Исследование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человеческом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познании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С.И. Церетели,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2-е изд. (М.: Мысль, 1996), 2:100.</w:t>
      </w:r>
    </w:p>
    <w:p w14:paraId="00000070" w14:textId="1CC944E9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Т.И.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Ойзерман,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(теория историко-философского процесса)»,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Избранные труды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сост.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И.Т.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Касавин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 Наука, 2014), 5:44.</w:t>
      </w:r>
    </w:p>
    <w:p w14:paraId="00000071" w14:textId="3F85D9B1" w:rsidR="00FD4B07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7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Peirce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Prolegomena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.</w:t>
      </w:r>
    </w:p>
    <w:p w14:paraId="0000007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Юм, «Исследование», 2:101.</w:t>
      </w:r>
    </w:p>
    <w:p w14:paraId="00000074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Ойзерман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», 5:37.</w:t>
      </w:r>
    </w:p>
    <w:p w14:paraId="00000075" w14:textId="74776EF8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76" w14:textId="66B32622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Ойзерман,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Т.И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(теория историко-философского процесса)».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Избранные труды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составитель Илья Теодорович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Касавин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т. 5, 13–494. М.: Наука, 2014.</w:t>
      </w:r>
    </w:p>
    <w:p w14:paraId="00000077" w14:textId="5E14ACD6" w:rsidR="00FD4B07" w:rsidRDefault="00353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Oizerman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I. «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Metaphilosophy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». In: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Selected Works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], compiled by I</w:t>
      </w:r>
      <w:r w:rsidR="00B367A3" w:rsidRPr="00BB7296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T.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Kasavin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vol. 5, 13–494.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Moscow: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Nauka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., 2014. 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78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Юм, Дэвид. «Исследование о человеческом познании». Перевод С.И. Церетели.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2-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е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изд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2, 3–144.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Мысль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1996.</w:t>
      </w:r>
    </w:p>
    <w:p w14:paraId="00000079" w14:textId="50854653" w:rsidR="00FD4B07" w:rsidRPr="004E5E3E" w:rsidRDefault="00353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353CD2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Hume D. «An Enquiry Concerning Human Understanding». Translated by S.I. Tsereteli, in D. Hume,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Collected Works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2nd ed., vol. 2, 3–144.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Mysl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' Publ., 1996.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7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Peirce, Charles Sanders. «Prolegomena to an Apology for Pragmaticism».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Philosophy of Mathematics: Selected Writings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edited by Matthew E. Moore, 79–83. Bloomington, Indiana: Indiana University Press, 2010.</w:t>
      </w:r>
    </w:p>
    <w:p w14:paraId="0000007B" w14:textId="6882A758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III. </w:t>
      </w:r>
      <w:r w:rsidR="00CD55E0" w:rsidRPr="00CD55E0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>Article</w:t>
      </w:r>
    </w:p>
    <w:p w14:paraId="06C442F8" w14:textId="77777777" w:rsidR="00CD55E0" w:rsidRPr="00CD55E0" w:rsidRDefault="00CD55E0" w:rsidP="00CD55E0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 a note, cite specific page numbers. In the bibliography, include the page range for the whole article. For articles consulted online, include a URL or the name of the database. Many journal articles list a DOI (Digital Object Identifier). A DOI forms a permanent URL that begins https://doi.org/. This URL is preferable to the URL that appears in your browser’s address bar.</w:t>
      </w:r>
    </w:p>
    <w:p w14:paraId="0000007D" w14:textId="1628155B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fr-CA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 xml:space="preserve">А. 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fr-CA"/>
        </w:rPr>
        <w:t>Journal article</w:t>
      </w:r>
    </w:p>
    <w:p w14:paraId="28107EA2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7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Vicotria Lysenko, «Perceptual Judgment Exemplified: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Diṅṅāga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Praśastapāda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 the Grammarians»,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Journal of World Philosophies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4, no. 2 (2019): 9.</w:t>
      </w:r>
    </w:p>
    <w:p w14:paraId="0000008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Вадим Валерьевич Васильев, «О влиянии Витгенштейна на логических позитивистов»,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Эпистемология и философия науки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58,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(2021): 41.</w:t>
      </w:r>
    </w:p>
    <w:p w14:paraId="00000081" w14:textId="60F68CD2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М</w:t>
      </w:r>
      <w:r w:rsidR="00BB7296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BB7296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Солопова,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к толкованию первого афоризма Гиппократа»,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Философский журнал /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Philosophy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Journal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8,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(2012): 7–10.</w:t>
      </w:r>
    </w:p>
    <w:p w14:paraId="00000082" w14:textId="33A6B439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А</w:t>
      </w:r>
      <w:r w:rsidR="00AE71F5">
        <w:rPr>
          <w:rFonts w:ascii="Times New Roman" w:eastAsia="Times New Roman" w:hAnsi="Times New Roman" w:cs="Times New Roman"/>
          <w:color w:val="7F7F7F"/>
          <w:sz w:val="26"/>
          <w:szCs w:val="26"/>
        </w:rPr>
        <w:t>.Н.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Круглов, «С.Е. Десницкий и дискуссии о естественном праве в России XVIII в.»,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34 (2019): 190.</w:t>
      </w:r>
    </w:p>
    <w:p w14:paraId="00000083" w14:textId="671ACCB3" w:rsidR="00FD4B07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84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Lysenko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Perceptual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Judgment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10.</w:t>
      </w:r>
    </w:p>
    <w:p w14:paraId="0000008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Васильев, «О влиянии Витгенштейна», 43.</w:t>
      </w:r>
    </w:p>
    <w:p w14:paraId="0000008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Солопова,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11.</w:t>
      </w:r>
    </w:p>
    <w:p w14:paraId="0000008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Круглов, «С.Е. Десницкий», 191.</w:t>
      </w:r>
    </w:p>
    <w:p w14:paraId="00000088" w14:textId="1F074FAB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89" w14:textId="417EB2CA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Васильев, Вадим Валерьевич. «О влиянии Витгенштейна на логических позитивистов».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Эпистемология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науки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58, </w:t>
      </w:r>
      <w:r w:rsidR="00AE71F5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№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1 (2021): 40–7, https://doi.org/10.5840/eps20215815.</w:t>
      </w:r>
    </w:p>
    <w:p w14:paraId="0000008A" w14:textId="349DC361" w:rsidR="00FD4B07" w:rsidRDefault="004606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46063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Vasilyev, Vadim V. «On Wittgenstein’s Influence on the Logical Positivists».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Epistemology and Philosophy of Science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58, no. 1 (2021), 40–7, https://doi.org/10.5840/eps20215815.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8B" w14:textId="2385460B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Круглов, </w:t>
      </w:r>
      <w:r w:rsidR="00AE71F5">
        <w:rPr>
          <w:rFonts w:ascii="Times New Roman" w:eastAsia="Times New Roman" w:hAnsi="Times New Roman" w:cs="Times New Roman"/>
          <w:color w:val="7F7F7F"/>
          <w:sz w:val="26"/>
          <w:szCs w:val="26"/>
        </w:rPr>
        <w:t>А.Н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«С.Е. Десницкий и дискуссии о естественном праве в России XVIII в.»,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34 (2019): 178–221, https://doi.org/10.21267/AQUILO.2019.34.43441.</w:t>
      </w:r>
    </w:p>
    <w:p w14:paraId="0000008C" w14:textId="27708E49" w:rsidR="00FD4B07" w:rsidRDefault="004606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46063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Krouglov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Alexei N</w:t>
      </w:r>
      <w:r w:rsidR="00AE71F5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ikolaevich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«S.E.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Desnitsky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and Discussions on Natural Law in Russia in 18th Century»,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34 (2019): 178–221. https://doi.org/10.21267/AQUILO.2019.34.43441.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8D" w14:textId="1710B66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Солопова, </w:t>
      </w:r>
      <w:r w:rsidR="00AE71F5">
        <w:rPr>
          <w:rFonts w:ascii="Times New Roman" w:eastAsia="Times New Roman" w:hAnsi="Times New Roman" w:cs="Times New Roman"/>
          <w:color w:val="7F7F7F"/>
          <w:sz w:val="26"/>
          <w:szCs w:val="26"/>
        </w:rPr>
        <w:t>М.А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к толкованию первого афоризма Гиппократа».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журнал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/ Philosophy Journal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8, </w:t>
      </w:r>
      <w:r w:rsidR="00AE71F5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№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1 (2012): 5–25.</w:t>
      </w:r>
    </w:p>
    <w:p w14:paraId="0000008E" w14:textId="3CAFF577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BA3BB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Solopova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Maria A. «Vita brevis: an Interpretation of Hippocrates’ First Aphorism». 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Filosofskii</w:t>
      </w:r>
      <w:proofErr w:type="spellEnd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zhurnal</w:t>
      </w:r>
      <w:proofErr w:type="spellEnd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/ Philosophy Journal 8, no. 1 (2012): 5–25.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8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Lysenko, Vicotria. «Perceptual Judgment Exemplified: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Diṅṅāga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Praśastapāda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 the Grammarians».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Journal of World Philosophies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4, no. 2 (2019): 8‒21, </w:t>
      </w:r>
      <w:hyperlink r:id="rId7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highlight w:val="white"/>
            <w:u w:val="single"/>
            <w:lang w:val="en-US"/>
          </w:rPr>
          <w:t>https://</w:t>
        </w:r>
      </w:hyperlink>
      <w:hyperlink r:id="rId8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doi.org/10.2979/jourworlphil.4.2.02.204.2019.1.16.3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90" w14:textId="0EF69F65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Translation of an a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rticle</w:t>
      </w:r>
    </w:p>
    <w:p w14:paraId="1BD6E7D1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92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Jacques Derrida, «A Certain Impossible Possibility of Saying the Event», trans. Gila Walker,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Critical Inquiry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33, no. 2 (2007): 441–461.</w:t>
      </w:r>
    </w:p>
    <w:p w14:paraId="00000093" w14:textId="0619A508" w:rsidR="00FD4B07" w:rsidRPr="00FF050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Аристотель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дыхании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08526F">
        <w:rPr>
          <w:rFonts w:ascii="Times New Roman" w:eastAsia="Times New Roman" w:hAnsi="Times New Roman" w:cs="Times New Roman"/>
          <w:color w:val="7F7F7F"/>
          <w:sz w:val="26"/>
          <w:szCs w:val="26"/>
        </w:rPr>
        <w:t>С</w:t>
      </w:r>
      <w:r w:rsidR="0008526F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08526F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8526F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Месяц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философии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25,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no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1–2 (2020): 101–110; 107–121.</w:t>
      </w:r>
    </w:p>
    <w:p w14:paraId="00000094" w14:textId="4F04A474" w:rsidR="00FD4B07" w:rsidRPr="00403C9B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95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1. Lysenko, «Perceptual Judgment», 10.</w:t>
      </w:r>
    </w:p>
    <w:p w14:paraId="0000009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Васильев, «О влиянии Витгенштейна», 43.</w:t>
      </w:r>
    </w:p>
    <w:p w14:paraId="00000097" w14:textId="77777777" w:rsidR="00FD4B07" w:rsidRDefault="00FD4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</w:p>
    <w:p w14:paraId="00000098" w14:textId="5DFE6FE5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99" w14:textId="678B0823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Аристотель. «О дыхании». Перевод </w:t>
      </w:r>
      <w:r w:rsidR="0008526F">
        <w:rPr>
          <w:rFonts w:ascii="Times New Roman" w:eastAsia="Times New Roman" w:hAnsi="Times New Roman" w:cs="Times New Roman"/>
          <w:color w:val="7F7F7F"/>
          <w:sz w:val="26"/>
          <w:szCs w:val="26"/>
        </w:rPr>
        <w:t>С.В.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Месяц.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философии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25,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1–2 (2020): 101–110; 107–121, </w:t>
      </w:r>
      <w:hyperlink r:id="rId9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https://doi.org/10.21146/2074-5869-2020-25-1-95-109</w:t>
        </w:r>
      </w:hyperlink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; </w:t>
      </w:r>
      <w:hyperlink r:id="rId10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https://doi.org/10.21146/2074-5869-2020-25-2-106-120</w:t>
        </w:r>
      </w:hyperlink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</w:p>
    <w:p w14:paraId="0000009A" w14:textId="69C3ABBA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Aristotle. «De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respiratione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». Translated by Svetlana V. Mesyats.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History of Philosophy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25, no. 1–2 (2020): 101–110; 107–121, </w:t>
      </w:r>
      <w:hyperlink r:id="rId11">
        <w:r w:rsidR="00792E19"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https://doi.org/10.21146/2074-5869-2020-25-1-95-109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; </w:t>
      </w:r>
      <w:hyperlink r:id="rId12">
        <w:r w:rsidR="00792E19"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https://doi.org/10.21146/2074-5869-2020-25-2-106-120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9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Derrida, Jacques. «A Certain Impossible Possibility of Saying the Event». Translated by Gila Walker.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Critical Inquiry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33, no. 2 (2007): 441–461, https://doi.org/10.1086/511506.</w:t>
      </w:r>
    </w:p>
    <w:p w14:paraId="0000009C" w14:textId="35C75A65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fr-CA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В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proofErr w:type="spellStart"/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fr-CA"/>
        </w:rPr>
        <w:t>Review</w:t>
      </w:r>
      <w:proofErr w:type="spellEnd"/>
    </w:p>
    <w:p w14:paraId="1E880409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lastRenderedPageBreak/>
        <w:t>Notes</w:t>
      </w:r>
    </w:p>
    <w:p w14:paraId="0000009E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Andrei Lebedev, «Early Greek Philosophers», review of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Beginnings of Philosophy in Greece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Maria M. Sassi,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Classical Review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71, no. 1 (April 2021): 55.</w:t>
      </w:r>
    </w:p>
    <w:p w14:paraId="0000009F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Алексей Геннадьевич Жаворонков, Рецензия на книгу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Кант: Биография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Манфред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Кюн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А. Васильевой,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36 (2021): 415.</w:t>
      </w:r>
    </w:p>
    <w:p w14:paraId="000000A0" w14:textId="488E407D" w:rsidR="00FD4B07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A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Lebedev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Early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Greek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54.</w:t>
      </w:r>
    </w:p>
    <w:p w14:paraId="000000A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Жаворонков, Рецензия, 416.</w:t>
      </w:r>
    </w:p>
    <w:p w14:paraId="000000A3" w14:textId="74C5E27C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A4" w14:textId="4E5CED3F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Жаворонков, Алексей Геннадьевич. Рецензия на книгу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Кант: Биография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Манфред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Кюн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перевод А. Васильевой.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ежегодник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36 (2021): 414–18, https://doi.org/10.21146/0134-8655-2021-36-414-418.</w:t>
      </w:r>
    </w:p>
    <w:p w14:paraId="000000A5" w14:textId="790472C3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BA3BB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Zhavoronkov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Alexei G. Review of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Kant: A Biography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Manfred Kuehn, translated by A. Vasilieva.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36 (2021): 414–18, https://doi.org/10.21146/0134-8655-2021-36-414-418.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A6" w14:textId="21CAB813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Lebedev, Andrei. «Early Greek Philosophers». Review of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Beginnings of Philosophy in Greece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Maria M. Sassi.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Classical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Review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71,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April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2021): 54–6, https://doi.org/10.1017/S0009840X21000275.</w:t>
      </w:r>
    </w:p>
    <w:p w14:paraId="000000A7" w14:textId="41630D0E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Г</w:t>
      </w:r>
      <w:r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News or magazine article</w:t>
      </w:r>
    </w:p>
    <w:p w14:paraId="623441ED" w14:textId="04CCB882" w:rsidR="00CD55E0" w:rsidRPr="00CD55E0" w:rsidRDefault="00CD55E0">
      <w:pPr>
        <w:pStyle w:val="3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i/>
          <w:color w:val="0085CF"/>
          <w:lang w:val="en-US"/>
        </w:rPr>
      </w:pP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Cite page numbers in the footnote, but not in the References list entry. If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you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read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the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article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online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also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cite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the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URL-address. 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n-US"/>
        </w:rPr>
        <w:t>For a source that does not list a date of publication or revision, include an access date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.</w:t>
      </w:r>
    </w:p>
    <w:p w14:paraId="630F8F34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A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Larissa MacFarquhar, «How to Be Good»,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New Yorker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September 5, 2011, 44.</w:t>
      </w:r>
    </w:p>
    <w:p w14:paraId="000000A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Ольга Завьялова. «Институт философии РАН переселят ради Музея нового западного искусства»,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Известия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14 мая, 2013.</w:t>
      </w:r>
    </w:p>
    <w:p w14:paraId="000000AC" w14:textId="64304633" w:rsidR="00FD4B07" w:rsidRPr="009C0E01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A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1. MacFarquhar, «How to Be Good», 47.</w:t>
      </w:r>
    </w:p>
    <w:p w14:paraId="000000A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Завьялова, «Институт философии».</w:t>
      </w:r>
    </w:p>
    <w:p w14:paraId="000000AF" w14:textId="091A10B1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B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Завьялова, Ольга. «Институт философии РАН переселят ради Музея нового западного искусства».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Известия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14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2013, </w:t>
      </w:r>
      <w:hyperlink r:id="rId13">
        <w:r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en-US"/>
          </w:rPr>
          <w:t>https://iz.ru/news/550026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B1" w14:textId="30AADFEB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Zav'yalova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Ol’ga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«[RAS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Institue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of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Philosphy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Will Be Relocated for a Museum of Modern Western Art]».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Izvestiya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May 14, 2013, </w:t>
      </w:r>
      <w:hyperlink r:id="rId14">
        <w:r w:rsidR="00792E19"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en-US"/>
          </w:rPr>
          <w:t>https://iz.ru/news/550026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B2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MacFarquhar, Larissa. «How to Be Good».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New Yorker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September 5, 2011, https://www.newyorker.com/magazine/2011/09/05/how-to-be-good.</w:t>
      </w:r>
    </w:p>
    <w:p w14:paraId="000000B3" w14:textId="07C2482C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fr-CA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Д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de-DE"/>
        </w:rPr>
        <w:t xml:space="preserve">. 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fr-CA"/>
        </w:rPr>
        <w:t>Interview</w:t>
      </w:r>
    </w:p>
    <w:p w14:paraId="66F5B819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B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Jürgen Habermas, «Jürgen Habermas über Corona: “So viel Wissen über unser Nichtwissen gab es noch nie”», interview von Markus Schwering,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Frankfurter Rundschau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April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2020.</w:t>
      </w:r>
    </w:p>
    <w:p w14:paraId="000000B6" w14:textId="5B4C47D6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Н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«Антиномии в развитии философии советского периода. Интервью с Н.В.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интервью Н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Татаренко,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33 (2018): 340.</w:t>
      </w:r>
    </w:p>
    <w:p w14:paraId="000000B7" w14:textId="0892AD40" w:rsidR="00FD4B07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B8" w14:textId="186CD588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Habermas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Interview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», 54.</w:t>
      </w:r>
    </w:p>
    <w:p w14:paraId="000000B9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, «Интервью», 346.</w:t>
      </w:r>
    </w:p>
    <w:p w14:paraId="000000BA" w14:textId="2034F14D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BB" w14:textId="1A4925B0" w:rsidR="00FD4B07" w:rsidRPr="0054745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Н.В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«Антиномии в развитии философии советского периода. Интервью с Н.В.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». Интервью 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Татаренко.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</w:t>
      </w:r>
      <w:r w:rsidRPr="00547455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547455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ежегодник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33 (2018),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https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://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doi</w:t>
      </w:r>
      <w:proofErr w:type="spellEnd"/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org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/10.21267/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AQUILO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.2018.33.21042.</w:t>
      </w:r>
    </w:p>
    <w:p w14:paraId="000000BC" w14:textId="6F3AB776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BA036D" w:rsidRPr="00BA036D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Nelly</w:t>
      </w:r>
      <w:r w:rsidR="00BA036D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 w:rsidR="00BA036D" w:rsidRPr="00BA036D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Vasilievna</w:t>
      </w:r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«Antinomies in Development of Philosophy of the Soviet Period. Interview with Nelly 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 Interview by Nataliya </w:t>
      </w:r>
      <w:proofErr w:type="spellStart"/>
      <w:r w:rsidR="00BA036D" w:rsidRPr="00BA036D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Anatolievna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Tatarenko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 (2018): 337–360, https://doi.org/10.21267/AQUILO.2018.33.21042.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</w:p>
    <w:p w14:paraId="000000B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Habermas, Jürgen. «Jürgen Habermas über Corona: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“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So viel Wissen über unser Nichtwissen gab es noch nie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”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». Interview von Markus Schwering.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Frankfurter Rundschau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15. April 2020, </w:t>
      </w:r>
      <w:hyperlink r:id="rId15">
        <w:r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de-DE"/>
          </w:rPr>
          <w:t>https://www.fr.de/kultur/gesellschaft/juergen-habermas-coronavirus-krise-covid19-interview-13642491.html</w:t>
        </w:r>
      </w:hyperlink>
    </w:p>
    <w:p w14:paraId="000000BE" w14:textId="2DCBE3C8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 xml:space="preserve">Е. </w:t>
      </w:r>
      <w:proofErr w:type="spellStart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>Website</w:t>
      </w:r>
      <w:proofErr w:type="spellEnd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 xml:space="preserve"> </w:t>
      </w:r>
      <w:proofErr w:type="spellStart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>content</w:t>
      </w:r>
      <w:proofErr w:type="spellEnd"/>
    </w:p>
    <w:p w14:paraId="000000BF" w14:textId="4E16B141" w:rsidR="00FD4B07" w:rsidRPr="00CD55E0" w:rsidRDefault="00CD55E0">
      <w:pPr>
        <w:pStyle w:val="3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i/>
          <w:color w:val="0085CF"/>
          <w:lang w:val="en-US"/>
        </w:rPr>
      </w:pP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Cite </w:t>
      </w:r>
      <w:r w:rsidR="00792E19"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URL-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address</w:t>
      </w:r>
      <w:r w:rsidR="00792E19"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 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both in footnote and in References list</w:t>
      </w:r>
      <w:r w:rsidR="00792E19"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 xml:space="preserve">. </w:t>
      </w:r>
      <w:r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n-US"/>
        </w:rPr>
        <w:t>For a source that does not list a date of publication or revision, include an access date</w:t>
      </w:r>
      <w:r w:rsidR="00792E19" w:rsidRPr="00CD55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  <w:lang w:val="en-US"/>
        </w:rPr>
        <w:t>.</w:t>
      </w:r>
    </w:p>
    <w:p w14:paraId="7BA47ABC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C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Christopher Bertram, «Jean Jacques Rousseau»,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Stanford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Encylopedia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of Philosophy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ed. by Edward Zalta, May 26, 2017, https://plato.stanford.edu/entries/rousseau/.</w:t>
      </w:r>
    </w:p>
    <w:p w14:paraId="000000C2" w14:textId="4992B1FC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lastRenderedPageBreak/>
        <w:t>2. А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.А.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Столяров, «Стоицизм»,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Электронная философская энциклопедия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дата обращения 9 июня 2022, https://www.elenph.org/individual?uri=https%3A%2F%2Flitvinovg.pro%2Ftext_structures%23elenphArticle%2Fw2phtml_stolyarov_stoitsizm.</w:t>
      </w:r>
    </w:p>
    <w:p w14:paraId="000000C4" w14:textId="57267F01" w:rsidR="00FD4B07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C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Bertram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Rousseau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».</w:t>
      </w:r>
    </w:p>
    <w:p w14:paraId="000000C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Столяров, «Стоицизм».</w:t>
      </w:r>
    </w:p>
    <w:p w14:paraId="000000C7" w14:textId="3C5E3998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C8" w14:textId="35CF5B5E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Столяров,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А.А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«Стоицизм».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Электронная философская энциклопедия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Дата обращения 9 июня 2022, https://www.elenph.org/individual?uri=https%3A%2F%2Flitvinovg.pro%2Ftext_structures%23elenphArticle%2Fw2phtml_stolyarov_stoitsizm.</w:t>
      </w:r>
    </w:p>
    <w:p w14:paraId="000000C9" w14:textId="10DE52CD" w:rsidR="00FD4B07" w:rsidRPr="004E5E3E" w:rsidRDefault="003F3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Stoliarov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A</w:t>
      </w:r>
      <w:r w:rsidR="00BA036D" w:rsidRPr="0054745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«Stoicism». In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Electronic Philosophical Encyclopedia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Accessed June 9, 2022,  </w:t>
      </w:r>
      <w:hyperlink r:id="rId16">
        <w:r w:rsidR="00792E19"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https://www.elenph.org/individual?uri=https%3A%2F%2Flitvinovg.pro%2Ftext_structures%23elenphArticle%2Fw2phtml_stolyarov_stoitsizm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C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Bertram, Christopher. «Jean Jacques Rousseau».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Stanford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Encylopedia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of Philosophy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Edited by Edward Zalta. May 26, 2017, https://plato.stanford.edu/entries/rousseau/.</w:t>
      </w:r>
    </w:p>
    <w:p w14:paraId="000000CB" w14:textId="13738A42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CD55E0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IV. </w:t>
      </w:r>
      <w:r w:rsidR="00CD55E0">
        <w:rPr>
          <w:rFonts w:ascii="Times New Roman" w:eastAsia="Times New Roman" w:hAnsi="Times New Roman" w:cs="Times New Roman"/>
          <w:color w:val="FF3333"/>
          <w:sz w:val="27"/>
          <w:szCs w:val="27"/>
          <w:lang w:val="el-GR"/>
        </w:rPr>
        <w:t>Ο</w:t>
      </w:r>
      <w:proofErr w:type="spellStart"/>
      <w:r w:rsidR="00CD55E0" w:rsidRPr="00CD55E0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>ther</w:t>
      </w:r>
      <w:proofErr w:type="spellEnd"/>
    </w:p>
    <w:p w14:paraId="000000CC" w14:textId="4DFA284A" w:rsidR="00FD4B07" w:rsidRPr="00CD55E0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</w:t>
      </w:r>
      <w:r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Multivolume ed</w:t>
      </w:r>
      <w:r w:rsidR="00CD55E0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>ition</w:t>
      </w:r>
    </w:p>
    <w:p w14:paraId="7174E7FF" w14:textId="0A26B0CA" w:rsidR="00CD55E0" w:rsidRPr="00CD55E0" w:rsidRDefault="00CD55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D55E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Depending on whether you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hink it more important to cite the editor or the author, use either the 1</w:t>
      </w:r>
      <w:r w:rsidRPr="00CD55E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or the 2</w:t>
      </w:r>
      <w:r w:rsidRPr="00CD55E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type of the note.</w:t>
      </w:r>
    </w:p>
    <w:p w14:paraId="70056E76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C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John Burnet, ed.,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5 vols (Oxford: Clarendon Press, 1900–1905).</w:t>
      </w:r>
    </w:p>
    <w:p w14:paraId="000000D0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Aristotle,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 of Aristotle: The Revised Oxford Translation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, ed. by Jonathan Barnes, 2 vols.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(Princeton, NJ: Princeton University Press, 1983).</w:t>
      </w:r>
    </w:p>
    <w:p w14:paraId="000000D1" w14:textId="26148E25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Джон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Локк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под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ред</w:t>
      </w:r>
      <w:proofErr w:type="spellEnd"/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И.С.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Нарского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и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А.Л.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Субботина, 3 тт. 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Мысль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1985–1988).</w:t>
      </w:r>
    </w:p>
    <w:p w14:paraId="000000D2" w14:textId="7634DA49" w:rsidR="00FD4B07" w:rsidRPr="009C0E01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D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Burnet,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5" w14:textId="77777777" w:rsidR="00FD4B07" w:rsidRPr="00E40CCA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Локк</w:t>
      </w:r>
      <w:r w:rsidRPr="00E40CCA">
        <w:rPr>
          <w:rFonts w:ascii="Times New Roman" w:eastAsia="Times New Roman" w:hAnsi="Times New Roman" w:cs="Times New Roman"/>
          <w:color w:val="7F7F7F"/>
          <w:sz w:val="26"/>
          <w:szCs w:val="26"/>
        </w:rPr>
        <w:t>,</w:t>
      </w:r>
      <w:r w:rsidRPr="00E40CCA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 w:rsidRPr="00E40CCA">
        <w:rPr>
          <w:rFonts w:ascii="Times New Roman" w:eastAsia="Times New Roman" w:hAnsi="Times New Roman" w:cs="Times New Roman"/>
          <w:color w:val="666666"/>
          <w:sz w:val="26"/>
          <w:szCs w:val="26"/>
        </w:rPr>
        <w:t>.</w:t>
      </w:r>
    </w:p>
    <w:p w14:paraId="000000D6" w14:textId="3D01FA1D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D7" w14:textId="57D12A76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Локк, Джон.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Под ред.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И.С.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Нарского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и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А.Л.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Субботина. 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тт</w:t>
      </w:r>
      <w:proofErr w:type="spell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Мысль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1985–1988.</w:t>
      </w:r>
    </w:p>
    <w:p w14:paraId="000000D8" w14:textId="41703B21" w:rsidR="00FD4B07" w:rsidRPr="004E5E3E" w:rsidRDefault="003F3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Locke, John.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Collected Works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]. Edited by I</w:t>
      </w:r>
      <w:r w:rsidR="00BA036D" w:rsidRPr="00A213D2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S.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Narsky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A</w:t>
      </w:r>
      <w:r w:rsidR="00BA036D" w:rsidRPr="00A213D2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L. Subbotin. 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3 vols. Moscow: 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Mysl</w:t>
      </w:r>
      <w:proofErr w:type="spellEnd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' Publ., 1985–1988.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)</w:t>
      </w:r>
    </w:p>
    <w:p w14:paraId="000000D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Aristotle.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 of Aristotle: The Revised Oxford Translation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. Edited by Jonathan Barnes. 2 vols. Princeton, NJ: Princeton University Press, 1983.</w:t>
      </w:r>
    </w:p>
    <w:p w14:paraId="000000DA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Burnet, John., ed.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5 vols.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Oxford: Clarendon Press, 1900–1905.</w:t>
      </w:r>
    </w:p>
    <w:p w14:paraId="000000DB" w14:textId="180CF138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proofErr w:type="spellStart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>Thesis</w:t>
      </w:r>
      <w:proofErr w:type="spellEnd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 xml:space="preserve"> </w:t>
      </w:r>
      <w:proofErr w:type="spellStart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>or</w:t>
      </w:r>
      <w:proofErr w:type="spellEnd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 xml:space="preserve"> </w:t>
      </w:r>
      <w:proofErr w:type="spellStart"/>
      <w:r w:rsidR="00CD55E0" w:rsidRPr="00CD55E0">
        <w:rPr>
          <w:rFonts w:ascii="Times New Roman" w:eastAsia="Times New Roman" w:hAnsi="Times New Roman" w:cs="Times New Roman"/>
          <w:color w:val="FF3333"/>
          <w:sz w:val="25"/>
          <w:szCs w:val="25"/>
        </w:rPr>
        <w:t>dissertation</w:t>
      </w:r>
      <w:proofErr w:type="spellEnd"/>
    </w:p>
    <w:p w14:paraId="1B6BA1ED" w14:textId="77777777" w:rsidR="00E40CCA" w:rsidRPr="00E40CCA" w:rsidRDefault="00E40CCA" w:rsidP="00E40CCA">
      <w:pPr>
        <w:pStyle w:val="3"/>
        <w:shd w:val="clear" w:color="auto" w:fill="FFFFFF"/>
        <w:spacing w:before="0" w:after="180"/>
        <w:rPr>
          <w:rFonts w:ascii="LyonText-SemiboldItalic-Web" w:hAnsi="LyonText-SemiboldItalic-Web"/>
          <w:i/>
          <w:iCs/>
          <w:color w:val="0085CF"/>
          <w:lang w:val="en-US"/>
        </w:rPr>
      </w:pPr>
      <w:r w:rsidRPr="00E40CCA">
        <w:rPr>
          <w:rFonts w:ascii="LyonText-SemiboldItalic-Web" w:hAnsi="LyonText-SemiboldItalic-Web"/>
          <w:i/>
          <w:iCs/>
          <w:color w:val="0085CF"/>
          <w:lang w:val="en-US"/>
        </w:rPr>
        <w:t>Notes</w:t>
      </w:r>
    </w:p>
    <w:p w14:paraId="000000D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Cynthia Lillian Rutz, «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King Lear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 and Its Folktale Analogues» (PhD diss., University of Chicago, 2013), 99–100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Александр Александрович Беликов, «Отношения следования в логиках с обобщенными истинностными значениями и их формализация» (Кандидатская диссертация, МГУ имени М.В. Ломоносова, 2018), 77.</w:t>
      </w:r>
    </w:p>
    <w:p w14:paraId="000000DF" w14:textId="787F00E3" w:rsidR="00FD4B07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Shortened</w:t>
      </w:r>
      <w:proofErr w:type="spellEnd"/>
      <w:r>
        <w:rPr>
          <w:rFonts w:ascii="Times New Roman" w:eastAsia="Times New Roman" w:hAnsi="Times New Roman" w:cs="Times New Roman"/>
          <w:i/>
          <w:color w:val="0085C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5CF"/>
        </w:rPr>
        <w:t>notes</w:t>
      </w:r>
      <w:proofErr w:type="spellEnd"/>
    </w:p>
    <w:p w14:paraId="000000E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Rutz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, «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</w:rPr>
        <w:t xml:space="preserve">King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</w:rPr>
        <w:t>Lear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», 158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</w:p>
    <w:p w14:paraId="000000E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Беликов, «Отношения следования», 50.</w:t>
      </w:r>
    </w:p>
    <w:p w14:paraId="000000E2" w14:textId="609500A8" w:rsidR="00FD4B07" w:rsidRPr="00E40CCA" w:rsidRDefault="00E40CCA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 w:rsidRPr="00E40CCA">
        <w:rPr>
          <w:rFonts w:ascii="Times New Roman" w:eastAsia="Times New Roman" w:hAnsi="Times New Roman" w:cs="Times New Roman"/>
          <w:i/>
          <w:color w:val="0085CF"/>
          <w:lang w:val="en-US"/>
        </w:rPr>
        <w:t>Bibliography entries (in alphabetical order)</w:t>
      </w:r>
    </w:p>
    <w:p w14:paraId="000000E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Беликов, Александр Александрович. «Отношения следования в логиках с обобщенными истинностными значениями и их формализация». Кандидатская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диссертация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МГУ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имени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Ломоносова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2018.</w:t>
      </w:r>
    </w:p>
    <w:p w14:paraId="000000E4" w14:textId="163DFA7E" w:rsidR="00FD4B07" w:rsidRPr="004E5E3E" w:rsidRDefault="003F3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Belikov, Alex. [«Entailment Relations in Logics with Generalized Truth Values and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Formalisations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of Them»].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PhD diss., Lomonosov Moscow State University, 2018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E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Rutz, Cynthia Lillian. «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King Lear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 and Its Folktale Analogues». PhD diss., University of Chicago, 2013</w:t>
      </w:r>
    </w:p>
    <w:sectPr w:rsidR="00FD4B07" w:rsidRPr="009C0E0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9D2F" w14:textId="77777777" w:rsidR="00B96253" w:rsidRDefault="00B96253" w:rsidP="00E40CCA">
      <w:pPr>
        <w:spacing w:after="0" w:line="240" w:lineRule="auto"/>
      </w:pPr>
      <w:r>
        <w:separator/>
      </w:r>
    </w:p>
  </w:endnote>
  <w:endnote w:type="continuationSeparator" w:id="0">
    <w:p w14:paraId="18422849" w14:textId="77777777" w:rsidR="00B96253" w:rsidRDefault="00B96253" w:rsidP="00E4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yonText-SemiboldItalic-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5FE5" w14:textId="77777777" w:rsidR="00B96253" w:rsidRDefault="00B96253" w:rsidP="00E40CCA">
      <w:pPr>
        <w:spacing w:after="0" w:line="240" w:lineRule="auto"/>
      </w:pPr>
      <w:r>
        <w:separator/>
      </w:r>
    </w:p>
  </w:footnote>
  <w:footnote w:type="continuationSeparator" w:id="0">
    <w:p w14:paraId="20DB1335" w14:textId="77777777" w:rsidR="00B96253" w:rsidRDefault="00B96253" w:rsidP="00E40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7"/>
    <w:rsid w:val="00037D47"/>
    <w:rsid w:val="0008526F"/>
    <w:rsid w:val="000E0DC0"/>
    <w:rsid w:val="000F6E0D"/>
    <w:rsid w:val="0021190F"/>
    <w:rsid w:val="002131E1"/>
    <w:rsid w:val="00233DC3"/>
    <w:rsid w:val="00251DD9"/>
    <w:rsid w:val="002951B3"/>
    <w:rsid w:val="00353CD2"/>
    <w:rsid w:val="003F3FDF"/>
    <w:rsid w:val="00403C9B"/>
    <w:rsid w:val="00436ED9"/>
    <w:rsid w:val="00460635"/>
    <w:rsid w:val="004E5E3E"/>
    <w:rsid w:val="00547455"/>
    <w:rsid w:val="005A2F0C"/>
    <w:rsid w:val="006B2E9F"/>
    <w:rsid w:val="006F53C8"/>
    <w:rsid w:val="00792E19"/>
    <w:rsid w:val="00884CC7"/>
    <w:rsid w:val="008B4963"/>
    <w:rsid w:val="009C0E01"/>
    <w:rsid w:val="00A213D2"/>
    <w:rsid w:val="00A54CB7"/>
    <w:rsid w:val="00AE6890"/>
    <w:rsid w:val="00AE71F5"/>
    <w:rsid w:val="00B367A3"/>
    <w:rsid w:val="00B96253"/>
    <w:rsid w:val="00BA036D"/>
    <w:rsid w:val="00BA3BBA"/>
    <w:rsid w:val="00BB7296"/>
    <w:rsid w:val="00BF022E"/>
    <w:rsid w:val="00C376DC"/>
    <w:rsid w:val="00CD55E0"/>
    <w:rsid w:val="00E35B1A"/>
    <w:rsid w:val="00E40CCA"/>
    <w:rsid w:val="00EA0FF7"/>
    <w:rsid w:val="00FD4B07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D4BD"/>
  <w15:docId w15:val="{1D0B93DA-39E6-4235-B3A4-4E42BE2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F5"/>
  </w:style>
  <w:style w:type="paragraph" w:styleId="1">
    <w:name w:val="heading 1"/>
    <w:basedOn w:val="a"/>
    <w:next w:val="a"/>
    <w:link w:val="10"/>
    <w:uiPriority w:val="9"/>
    <w:qFormat/>
    <w:rsid w:val="00CD1574"/>
    <w:pPr>
      <w:spacing w:after="240"/>
      <w:jc w:val="center"/>
      <w:outlineLvl w:val="0"/>
    </w:pPr>
    <w:rPr>
      <w:b/>
      <w:caps/>
      <w:kern w:val="28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D1574"/>
    <w:pPr>
      <w:spacing w:after="24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1574"/>
    <w:pPr>
      <w:keepNext/>
      <w:spacing w:before="240" w:after="1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574"/>
    <w:pPr>
      <w:keepNext/>
      <w:spacing w:after="240"/>
      <w:outlineLvl w:val="3"/>
    </w:pPr>
    <w:rPr>
      <w:rFonts w:ascii="Verdana" w:hAnsi="Verdana"/>
      <w:b/>
      <w:bCs/>
      <w:sz w:val="1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B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F5"/>
    <w:rPr>
      <w:rFonts w:eastAsiaTheme="minorHAnsi"/>
    </w:rPr>
  </w:style>
  <w:style w:type="character" w:styleId="a6">
    <w:name w:val="footnote reference"/>
    <w:basedOn w:val="a0"/>
    <w:uiPriority w:val="99"/>
    <w:semiHidden/>
    <w:unhideWhenUsed/>
    <w:rsid w:val="001B00F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1B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0F5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1B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1574"/>
    <w:rPr>
      <w:rFonts w:ascii="Times New Roman" w:eastAsia="Times New Roman" w:hAnsi="Times New Roman" w:cs="Times New Roman"/>
      <w:b/>
      <w:caps/>
      <w:kern w:val="28"/>
      <w:sz w:val="26"/>
      <w:szCs w:val="26"/>
    </w:rPr>
  </w:style>
  <w:style w:type="character" w:customStyle="1" w:styleId="20">
    <w:name w:val="Заголовок 2 Знак"/>
    <w:basedOn w:val="a0"/>
    <w:link w:val="2"/>
    <w:rsid w:val="00CD1574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rsid w:val="00CD157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D1574"/>
    <w:rPr>
      <w:rFonts w:ascii="Verdana" w:eastAsia="Times New Roman" w:hAnsi="Verdana" w:cs="Times New Roman"/>
      <w:b/>
      <w:bCs/>
      <w:sz w:val="18"/>
      <w:szCs w:val="24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B00F5"/>
    <w:rPr>
      <w:rFonts w:ascii="Segoe UI" w:eastAsiaTheme="minorHAns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B00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00F5"/>
    <w:rPr>
      <w:rFonts w:eastAsiaTheme="minorHAnsi"/>
      <w:sz w:val="20"/>
      <w:szCs w:val="20"/>
    </w:rPr>
  </w:style>
  <w:style w:type="paragraph" w:customStyle="1" w:styleId="sb1f">
    <w:name w:val="sb1f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">
    <w:name w:val="i"/>
    <w:basedOn w:val="a0"/>
    <w:rsid w:val="00AA06AE"/>
  </w:style>
  <w:style w:type="character" w:styleId="ad">
    <w:name w:val="Emphasis"/>
    <w:basedOn w:val="a0"/>
    <w:uiPriority w:val="20"/>
    <w:qFormat/>
    <w:rsid w:val="00AA06AE"/>
    <w:rPr>
      <w:i/>
      <w:iCs/>
    </w:rPr>
  </w:style>
  <w:style w:type="paragraph" w:customStyle="1" w:styleId="sb1">
    <w:name w:val="sb1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f">
    <w:name w:val="sbulf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l">
    <w:name w:val="sbull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ft">
    <w:name w:val="paft"/>
    <w:basedOn w:val="a"/>
    <w:rsid w:val="00A9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s">
    <w:name w:val="sbuls"/>
    <w:basedOn w:val="a"/>
    <w:rsid w:val="00A9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ibliography"/>
    <w:basedOn w:val="a"/>
    <w:next w:val="a"/>
    <w:uiPriority w:val="37"/>
    <w:semiHidden/>
    <w:unhideWhenUsed/>
    <w:rsid w:val="00F66923"/>
  </w:style>
  <w:style w:type="character" w:styleId="af">
    <w:name w:val="Hyperlink"/>
    <w:basedOn w:val="a0"/>
    <w:uiPriority w:val="99"/>
    <w:unhideWhenUsed/>
    <w:rsid w:val="00407B2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07B25"/>
    <w:rPr>
      <w:color w:val="605E5C"/>
      <w:shd w:val="clear" w:color="auto" w:fill="E1DFDD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79/jourworlphil.4.2.02.204.2019.1.16.3" TargetMode="External"/><Relationship Id="rId13" Type="http://schemas.openxmlformats.org/officeDocument/2006/relationships/hyperlink" Target="https://iz.ru/news/5500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979/jourworlphil.4.2.02.204.2019.1.16.3" TargetMode="External"/><Relationship Id="rId12" Type="http://schemas.openxmlformats.org/officeDocument/2006/relationships/hyperlink" Target="https://doi.org/10.21146/2074-5869-2020-25-2-106-1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enph.org/individual?uri=https%3A%2F%2Flitvinovg.pro%2Ftext_structures%23elenphArticle%2Fw2phtml_stolyarov_stoitsiz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21146/2074-5869-2020-25-1-95-1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.de/kultur/gesellschaft/juergen-habermas-coronavirus-krise-covid19-interview-13642491.html" TargetMode="External"/><Relationship Id="rId10" Type="http://schemas.openxmlformats.org/officeDocument/2006/relationships/hyperlink" Target="https://doi.org/10.21146/2074-5869-2020-25-2-106-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146/2074-5869-2020-25-1-95-109" TargetMode="External"/><Relationship Id="rId14" Type="http://schemas.openxmlformats.org/officeDocument/2006/relationships/hyperlink" Target="https://iz.ru/news/55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AFWqLHVdDJV8CldYEgq5UzmbQ==">AMUW2mUblqzqLJZ03WPPweDAh1r6zidSnHC5STmckEc+EEvHM/8SKI+7w2F0UCQ9bUXLeAa7vqvQe/ryuNxz0zmm19MngyGImDnL7BLa/9wNYEizX8OsWntHSKiwbeMCk55accZZcjtt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Артем Юнусов</cp:lastModifiedBy>
  <cp:revision>13</cp:revision>
  <dcterms:created xsi:type="dcterms:W3CDTF">2022-05-10T16:47:00Z</dcterms:created>
  <dcterms:modified xsi:type="dcterms:W3CDTF">2023-05-10T09:50:00Z</dcterms:modified>
</cp:coreProperties>
</file>